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lang w:val="en-US" w:eastAsia="zh-CN"/>
        </w:rPr>
      </w:pPr>
      <w:r>
        <w:rPr>
          <w:rStyle w:val="7"/>
          <w:rFonts w:hint="eastAsia" w:ascii="方正小标宋_GBK" w:hAnsi="方正小标宋_GBK" w:eastAsia="方正小标宋_GBK" w:cs="方正小标宋_GBK"/>
          <w:b w:val="0"/>
          <w:bCs/>
          <w:i w:val="0"/>
          <w:color w:val="auto"/>
          <w:spacing w:val="0"/>
          <w:sz w:val="44"/>
          <w:szCs w:val="44"/>
          <w:lang w:val="en-US" w:eastAsia="zh-CN"/>
        </w:rPr>
        <w:t>习水</w:t>
      </w:r>
      <w:r>
        <w:rPr>
          <w:rStyle w:val="7"/>
          <w:rFonts w:hint="eastAsia" w:ascii="方正小标宋_GBK" w:hAnsi="方正小标宋_GBK" w:eastAsia="方正小标宋_GBK" w:cs="方正小标宋_GBK"/>
          <w:b w:val="0"/>
          <w:bCs/>
          <w:i w:val="0"/>
          <w:caps w:val="0"/>
          <w:color w:val="auto"/>
          <w:spacing w:val="0"/>
          <w:sz w:val="44"/>
          <w:szCs w:val="44"/>
          <w:lang w:val="en-US" w:eastAsia="zh-CN"/>
        </w:rPr>
        <w:t>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r>
        <w:rPr>
          <w:rStyle w:val="7"/>
          <w:rFonts w:hint="eastAsia" w:ascii="方正小标宋_GBK" w:hAnsi="方正小标宋_GBK" w:eastAsia="方正小标宋_GBK" w:cs="方正小标宋_GBK"/>
          <w:b w:val="0"/>
          <w:bCs/>
          <w:i w:val="0"/>
          <w:caps w:val="0"/>
          <w:color w:val="auto"/>
          <w:spacing w:val="0"/>
          <w:sz w:val="44"/>
          <w:szCs w:val="44"/>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习水县消防救援大队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习水县消防救援大队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习水县消防救援大队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习水县消防救援大队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习水县消防救援大队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电话：0851-</w:t>
      </w:r>
      <w:r>
        <w:rPr>
          <w:rFonts w:hint="eastAsia" w:ascii="Times New Roman" w:hAnsi="Times New Roman" w:eastAsia="方正仿宋_GBK" w:cs="Times New Roman"/>
          <w:i w:val="0"/>
          <w:caps w:val="0"/>
          <w:color w:val="auto"/>
          <w:spacing w:val="0"/>
          <w:sz w:val="32"/>
          <w:szCs w:val="32"/>
          <w:lang w:val="en-US" w:eastAsia="zh-CN"/>
        </w:rPr>
        <w:t>22531119</w:t>
      </w:r>
      <w:r>
        <w:rPr>
          <w:rFonts w:hint="default" w:ascii="Times New Roman" w:hAnsi="Times New Roman" w:eastAsia="方正仿宋_GBK" w:cs="Times New Roman"/>
          <w:i w:val="0"/>
          <w:caps w:val="0"/>
          <w:color w:val="auto"/>
          <w:spacing w:val="0"/>
          <w:sz w:val="32"/>
          <w:szCs w:val="32"/>
        </w:rPr>
        <w:t>。</w:t>
      </w:r>
    </w:p>
    <w:p w14:paraId="73B58D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地址：</w:t>
      </w:r>
      <w:r>
        <w:rPr>
          <w:rFonts w:hint="eastAsia" w:ascii="方正仿宋_GBK" w:hAnsi="方正仿宋_GBK" w:eastAsia="方正仿宋_GBK" w:cs="方正仿宋_GBK"/>
          <w:i w:val="0"/>
          <w:iCs w:val="0"/>
          <w:caps w:val="0"/>
          <w:color w:val="auto"/>
          <w:spacing w:val="0"/>
          <w:sz w:val="31"/>
          <w:szCs w:val="31"/>
          <w:shd w:val="clear" w:fill="FFFFFF"/>
        </w:rPr>
        <w:t>贵州省</w:t>
      </w:r>
      <w:r>
        <w:rPr>
          <w:rFonts w:hint="eastAsia" w:ascii="方正仿宋_GBK" w:hAnsi="方正仿宋_GBK" w:eastAsia="方正仿宋_GBK" w:cs="方正仿宋_GBK"/>
          <w:i w:val="0"/>
          <w:iCs w:val="0"/>
          <w:caps w:val="0"/>
          <w:color w:val="auto"/>
          <w:spacing w:val="0"/>
          <w:sz w:val="31"/>
          <w:szCs w:val="31"/>
          <w:shd w:val="clear" w:fill="FFFFFF"/>
          <w:lang w:val="en-US" w:eastAsia="zh-CN"/>
        </w:rPr>
        <w:t>遵义</w:t>
      </w:r>
      <w:r>
        <w:rPr>
          <w:rFonts w:hint="eastAsia" w:ascii="方正仿宋_GBK" w:hAnsi="方正仿宋_GBK" w:eastAsia="方正仿宋_GBK" w:cs="方正仿宋_GBK"/>
          <w:i w:val="0"/>
          <w:iCs w:val="0"/>
          <w:caps w:val="0"/>
          <w:color w:val="auto"/>
          <w:spacing w:val="0"/>
          <w:sz w:val="31"/>
          <w:szCs w:val="31"/>
          <w:shd w:val="clear" w:fill="FFFFFF"/>
        </w:rPr>
        <w:t>市</w:t>
      </w:r>
      <w:r>
        <w:rPr>
          <w:rFonts w:hint="eastAsia" w:ascii="方正仿宋_GBK" w:hAnsi="方正仿宋_GBK" w:eastAsia="方正仿宋_GBK" w:cs="方正仿宋_GBK"/>
          <w:i w:val="0"/>
          <w:iCs w:val="0"/>
          <w:caps w:val="0"/>
          <w:color w:val="auto"/>
          <w:spacing w:val="0"/>
          <w:sz w:val="31"/>
          <w:szCs w:val="31"/>
          <w:shd w:val="clear" w:fill="FFFFFF"/>
          <w:lang w:val="en-US" w:eastAsia="zh-CN"/>
        </w:rPr>
        <w:t>习水县杉王街道华润大道</w:t>
      </w:r>
      <w:r>
        <w:rPr>
          <w:rFonts w:hint="eastAsia" w:ascii="Times New Roman" w:hAnsi="Times New Roman" w:eastAsia="微软雅黑" w:cs="Times New Roman"/>
          <w:i w:val="0"/>
          <w:iCs w:val="0"/>
          <w:caps w:val="0"/>
          <w:color w:val="auto"/>
          <w:spacing w:val="0"/>
          <w:sz w:val="31"/>
          <w:szCs w:val="31"/>
          <w:shd w:val="clear" w:fill="FFFFFF"/>
          <w:lang w:val="en-US" w:eastAsia="zh-CN"/>
        </w:rPr>
        <w:t>A</w:t>
      </w:r>
      <w:r>
        <w:rPr>
          <w:rFonts w:hint="eastAsia" w:ascii="方正仿宋_GBK" w:hAnsi="方正仿宋_GBK" w:eastAsia="方正仿宋_GBK" w:cs="方正仿宋_GBK"/>
          <w:i w:val="0"/>
          <w:iCs w:val="0"/>
          <w:caps w:val="0"/>
          <w:color w:val="auto"/>
          <w:spacing w:val="0"/>
          <w:sz w:val="31"/>
          <w:szCs w:val="31"/>
          <w:shd w:val="clear" w:fill="FFFFFF"/>
          <w:lang w:val="en-US" w:eastAsia="zh-CN"/>
        </w:rPr>
        <w:t>段</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Times New Roman"/>
          <w:i w:val="0"/>
          <w:caps w:val="0"/>
          <w:color w:val="auto"/>
          <w:spacing w:val="0"/>
          <w:sz w:val="32"/>
          <w:szCs w:val="32"/>
          <w:lang w:eastAsia="zh-CN"/>
        </w:rPr>
      </w:pPr>
      <w:r>
        <w:rPr>
          <w:rFonts w:hint="default" w:ascii="Times New Roman" w:hAnsi="Times New Roman" w:eastAsia="方正仿宋_GBK" w:cs="Times New Roman"/>
          <w:i w:val="0"/>
          <w:caps w:val="0"/>
          <w:color w:val="auto"/>
          <w:spacing w:val="0"/>
          <w:sz w:val="32"/>
          <w:szCs w:val="32"/>
        </w:rPr>
        <w:t>邮编：5</w:t>
      </w:r>
      <w:r>
        <w:rPr>
          <w:rFonts w:hint="eastAsia" w:ascii="Times New Roman" w:hAnsi="Times New Roman" w:eastAsia="方正仿宋_GBK" w:cs="Times New Roman"/>
          <w:i w:val="0"/>
          <w:caps w:val="0"/>
          <w:color w:val="auto"/>
          <w:spacing w:val="0"/>
          <w:sz w:val="32"/>
          <w:szCs w:val="32"/>
          <w:lang w:val="en-US" w:eastAsia="zh-CN"/>
        </w:rPr>
        <w:t>64600</w:t>
      </w:r>
      <w:r>
        <w:rPr>
          <w:rFonts w:hint="default" w:ascii="Times New Roman" w:hAnsi="Times New Roman" w:eastAsia="方正仿宋_GBK" w:cs="Times New Roman"/>
          <w:i w:val="0"/>
          <w:caps w:val="0"/>
          <w:color w:val="auto"/>
          <w:spacing w:val="0"/>
          <w:sz w:val="32"/>
          <w:szCs w:val="32"/>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62A65F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bookmarkStart w:id="0" w:name="_GoBack"/>
      <w:bookmarkEnd w:id="0"/>
      <w:r>
        <w:rPr>
          <w:rStyle w:val="7"/>
          <w:rFonts w:hint="eastAsia" w:ascii="方正小标宋_GBK" w:hAnsi="方正小标宋_GBK" w:eastAsia="方正小标宋_GBK" w:cs="方正小标宋_GBK"/>
          <w:b w:val="0"/>
          <w:bCs/>
          <w:i w:val="0"/>
          <w:color w:val="auto"/>
          <w:spacing w:val="0"/>
          <w:sz w:val="44"/>
          <w:szCs w:val="44"/>
          <w:lang w:val="en-US" w:eastAsia="zh-CN"/>
        </w:rPr>
        <w:t>习水</w:t>
      </w:r>
      <w:r>
        <w:rPr>
          <w:rStyle w:val="7"/>
          <w:rFonts w:hint="eastAsia" w:ascii="方正小标宋_GBK" w:hAnsi="方正小标宋_GBK" w:eastAsia="方正小标宋_GBK" w:cs="方正小标宋_GBK"/>
          <w:b w:val="0"/>
          <w:bCs/>
          <w:i w:val="0"/>
          <w:caps w:val="0"/>
          <w:color w:val="auto"/>
          <w:spacing w:val="0"/>
          <w:sz w:val="44"/>
          <w:szCs w:val="44"/>
          <w:lang w:val="en-US" w:eastAsia="zh-CN"/>
        </w:rPr>
        <w:t>县消防救援大队</w:t>
      </w:r>
      <w:r>
        <w:rPr>
          <w:rFonts w:hint="eastAsia" w:ascii="方正小标宋_GBK" w:hAnsi="方正小标宋_GBK" w:eastAsia="方正小标宋_GBK" w:cs="方正小标宋_GBK"/>
          <w:i w:val="0"/>
          <w:caps w:val="0"/>
          <w:color w:val="auto"/>
          <w:spacing w:val="0"/>
          <w:sz w:val="44"/>
          <w:szCs w:val="44"/>
        </w:rPr>
        <w:t>公开</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r>
              <w:rPr>
                <w:rFonts w:hint="default" w:ascii="Times New Roman" w:hAnsi="Times New Roman" w:eastAsia="方正仿宋_GBK" w:cs="Times New Roman"/>
                <w:i w:val="0"/>
                <w:caps w:val="0"/>
                <w:color w:val="auto"/>
                <w:spacing w:val="0"/>
                <w:sz w:val="28"/>
                <w:szCs w:val="28"/>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90F9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4</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w:t>
            </w:r>
            <w:r>
              <w:rPr>
                <w:rFonts w:hint="eastAsia" w:ascii="Times New Roman" w:hAnsi="Times New Roman" w:eastAsia="方正仿宋_GBK" w:cs="Times New Roman"/>
                <w:i w:val="0"/>
                <w:caps w:val="0"/>
                <w:color w:val="auto"/>
                <w:spacing w:val="0"/>
                <w:sz w:val="28"/>
                <w:szCs w:val="28"/>
                <w:lang w:val="en-US" w:eastAsia="zh-CN"/>
              </w:rPr>
              <w:t>习水县消防救援大队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BC0E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EDD73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8</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8D2B5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49F0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1165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BC6E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习水县消防救援大队年度</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44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482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w:t>
            </w:r>
          </w:p>
        </w:tc>
        <w:tc>
          <w:tcPr>
            <w:tcW w:w="1616" w:type="dxa"/>
            <w:vAlign w:val="center"/>
          </w:tcPr>
          <w:p w14:paraId="0E74A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5A0AF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19</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auto"/>
                <w:spacing w:val="0"/>
                <w:sz w:val="28"/>
                <w:szCs w:val="28"/>
                <w:lang w:val="en-US" w:eastAsia="zh-CN"/>
              </w:rPr>
              <w:t>习水县消防救援大队</w:t>
            </w:r>
          </w:p>
        </w:tc>
      </w:tr>
    </w:tbl>
    <w:p w14:paraId="257A0A2A">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2205FC9"/>
    <w:rsid w:val="1D862F93"/>
    <w:rsid w:val="1EF74148"/>
    <w:rsid w:val="20851D27"/>
    <w:rsid w:val="23755070"/>
    <w:rsid w:val="27D74B17"/>
    <w:rsid w:val="284C7A92"/>
    <w:rsid w:val="2899001E"/>
    <w:rsid w:val="2D5147E9"/>
    <w:rsid w:val="33642099"/>
    <w:rsid w:val="3CC37FC3"/>
    <w:rsid w:val="453A5BFF"/>
    <w:rsid w:val="4ADC4BE5"/>
    <w:rsid w:val="4D137AF0"/>
    <w:rsid w:val="52187956"/>
    <w:rsid w:val="52A7368B"/>
    <w:rsid w:val="53623180"/>
    <w:rsid w:val="5BD85B2E"/>
    <w:rsid w:val="5D2F593B"/>
    <w:rsid w:val="5E054BE2"/>
    <w:rsid w:val="5F5C5326"/>
    <w:rsid w:val="64703F1A"/>
    <w:rsid w:val="75FA551F"/>
    <w:rsid w:val="76B64EC4"/>
    <w:rsid w:val="78B44951"/>
    <w:rsid w:val="78D352DB"/>
    <w:rsid w:val="7D8E0949"/>
    <w:rsid w:val="7DCA4176"/>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1399</Words>
  <Characters>1494</Characters>
  <Lines>0</Lines>
  <Paragraphs>0</Paragraphs>
  <TotalTime>3</TotalTime>
  <ScaleCrop>false</ScaleCrop>
  <LinksUpToDate>false</LinksUpToDate>
  <CharactersWithSpaces>1494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Administrator</cp:lastModifiedBy>
  <cp:lastPrinted>2025-02-25T08:25:00Z</cp:lastPrinted>
  <dcterms:modified xsi:type="dcterms:W3CDTF">2025-12-03T03:23:47Z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eyJoZGlkIjoiOWJjZDMxZjZjZTI1NDZlNWM5OTM0ZmZiMmYyNjVhZDQiLCJ1c2VySWQiOiIzNjkyNDM4NjUifQ==</vt:lpwstr>
  </property>
  <property fmtid="{D5CDD505-2E9C-101B-9397-08002B2CF9AE}" pid="4" name="ICV">
    <vt:lpwstr>0D556890733C42068021C1203DE71E9D_13</vt:lpwstr>
  </property>
</Properties>
</file>